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firstLine="0"/>
        <w:keepNext w:val="0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ЗАКОН</w:t>
      </w:r>
      <w:r/>
    </w:p>
    <w:p>
      <w:pPr>
        <w:ind w:firstLine="0"/>
        <w:jc w:val="center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Алтайского края</w:t>
      </w:r>
      <w:r/>
    </w:p>
    <w:p>
      <w:pPr>
        <w:ind w:firstLine="709"/>
        <w:jc w:val="center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0"/>
        <w:jc w:val="center"/>
        <w:widowControl w:val="off"/>
        <w:rPr>
          <w:rFonts w:ascii="PT Astra Serif" w:hAnsi="PT Astra Serif" w:cs="PT Astra Serif"/>
          <w:b/>
          <w:bCs/>
          <w:color w:val="auto"/>
          <w:szCs w:val="27"/>
        </w:rPr>
      </w:pPr>
      <w:r>
        <w:rPr>
          <w:rFonts w:ascii="PT Astra Serif" w:hAnsi="PT Astra Serif" w:cs="PT Astra Serif"/>
          <w:b/>
          <w:color w:val="auto"/>
          <w:szCs w:val="27"/>
        </w:rPr>
        <w:t xml:space="preserve">О внесении изменений в статьи 6 и 8 закона Алтайского края </w:t>
      </w:r>
      <w:r/>
    </w:p>
    <w:p>
      <w:pPr>
        <w:ind w:firstLine="0"/>
        <w:jc w:val="center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b/>
          <w:color w:val="auto"/>
          <w:szCs w:val="27"/>
        </w:rPr>
        <w:t xml:space="preserve">«О регулировании отдельных лесных отношений</w:t>
      </w:r>
      <w:r/>
    </w:p>
    <w:p>
      <w:pPr>
        <w:ind w:firstLine="0"/>
        <w:jc w:val="center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b/>
          <w:color w:val="auto"/>
          <w:szCs w:val="27"/>
        </w:rPr>
        <w:t xml:space="preserve">на территории Алтайского края»</w:t>
      </w:r>
      <w:r/>
    </w:p>
    <w:p>
      <w:pPr>
        <w:ind w:firstLine="709"/>
        <w:jc w:val="center"/>
        <w:widowControl w:val="off"/>
        <w:rPr>
          <w:rFonts w:ascii="PT Astra Serif" w:hAnsi="PT Astra Serif" w:cs="PT Astra Serif"/>
          <w:b/>
          <w:color w:val="auto"/>
          <w:szCs w:val="27"/>
        </w:rPr>
      </w:pPr>
      <w:r>
        <w:rPr>
          <w:rFonts w:ascii="PT Astra Serif" w:hAnsi="PT Astra Serif" w:cs="PT Astra Serif"/>
          <w:b/>
          <w:color w:val="auto"/>
          <w:szCs w:val="27"/>
        </w:rPr>
      </w:r>
      <w:r/>
    </w:p>
    <w:p>
      <w:pPr>
        <w:ind w:firstLine="709"/>
        <w:jc w:val="center"/>
        <w:widowControl w:val="off"/>
        <w:rPr>
          <w:rFonts w:ascii="PT Astra Serif" w:hAnsi="PT Astra Serif" w:cs="PT Astra Serif"/>
          <w:b/>
          <w:color w:val="auto"/>
          <w:szCs w:val="27"/>
        </w:rPr>
      </w:pPr>
      <w:r>
        <w:rPr>
          <w:rFonts w:ascii="PT Astra Serif" w:hAnsi="PT Astra Serif" w:cs="PT Astra Serif"/>
          <w:b/>
          <w:color w:val="auto"/>
          <w:szCs w:val="27"/>
        </w:rPr>
      </w:r>
      <w:r/>
    </w:p>
    <w:p>
      <w:pPr>
        <w:ind w:firstLine="709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b/>
          <w:color w:val="auto"/>
          <w:szCs w:val="27"/>
        </w:rPr>
        <w:t xml:space="preserve">Статья 1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709"/>
        <w:keepLines/>
        <w:widowControl w:val="off"/>
      </w:pPr>
      <w:r>
        <w:rPr>
          <w:rFonts w:ascii="PT Astra Serif" w:hAnsi="PT Astra Serif" w:cs="PT Astra Serif"/>
          <w:color w:val="auto"/>
          <w:szCs w:val="27"/>
        </w:rPr>
        <w:t xml:space="preserve">Внести в закон Алтайского края от 10 сентября 2007 года № 87-ЗС</w:t>
      </w:r>
      <w:r>
        <w:rPr>
          <w:rFonts w:ascii="PT Astra Serif" w:hAnsi="PT Astra Serif" w:cs="PT Astra Serif"/>
          <w:color w:val="auto"/>
          <w:szCs w:val="27"/>
        </w:rPr>
        <w:br/>
        <w:t xml:space="preserve">«О регулировании отдельных лесных отношений на территории Алтайского края» </w:t>
      </w:r>
      <w:r>
        <w:rPr>
          <w:color w:val="000000"/>
          <w:szCs w:val="27"/>
        </w:rPr>
        <w:t xml:space="preserve">(</w:t>
      </w:r>
      <w:r>
        <w:rPr>
          <w:color w:val="000000"/>
          <w:szCs w:val="27"/>
        </w:rPr>
        <w:t xml:space="preserve">Сборник законодательства Алтайского края, 2007, </w:t>
      </w:r>
      <w:r>
        <w:rPr>
          <w:color w:val="000000"/>
          <w:szCs w:val="27"/>
        </w:rPr>
        <w:t xml:space="preserve">№</w:t>
      </w:r>
      <w:r>
        <w:rPr>
          <w:color w:val="000000"/>
          <w:szCs w:val="27"/>
        </w:rPr>
        <w:t xml:space="preserve"> 137, часть I; 2009, № 156, часть I, №</w:t>
      </w:r>
      <w:r>
        <w:rPr>
          <w:color w:val="000000"/>
          <w:szCs w:val="27"/>
        </w:rPr>
        <w:t xml:space="preserve"> </w:t>
      </w:r>
      <w:r>
        <w:rPr>
          <w:color w:val="000000"/>
          <w:szCs w:val="27"/>
        </w:rPr>
        <w:t xml:space="preserve">162, часть I, № 163, часть </w:t>
      </w:r>
      <w:r>
        <w:rPr>
          <w:color w:val="000000"/>
          <w:szCs w:val="27"/>
        </w:rPr>
        <w:t xml:space="preserve">I; 2010, № 167,</w:t>
      </w:r>
      <w:r>
        <w:rPr>
          <w:color w:val="000000"/>
          <w:szCs w:val="27"/>
        </w:rPr>
        <w:br/>
      </w:r>
      <w:r>
        <w:rPr>
          <w:color w:val="000000"/>
          <w:szCs w:val="27"/>
        </w:rPr>
        <w:t xml:space="preserve">часть I, № 174,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часть </w:t>
      </w:r>
      <w:r>
        <w:rPr>
          <w:color w:val="000000"/>
          <w:szCs w:val="27"/>
        </w:rPr>
        <w:t xml:space="preserve">I; 2011, № 183, часть I, № 186, час</w:t>
      </w:r>
      <w:r>
        <w:rPr>
          <w:color w:val="000000"/>
          <w:szCs w:val="27"/>
        </w:rPr>
        <w:t xml:space="preserve">ть I; 2012, № 194,</w:t>
      </w:r>
      <w:r>
        <w:rPr>
          <w:color w:val="000000"/>
          <w:szCs w:val="27"/>
        </w:rPr>
        <w:br/>
      </w:r>
      <w:r>
        <w:rPr>
          <w:color w:val="000000"/>
          <w:szCs w:val="27"/>
        </w:rPr>
        <w:t xml:space="preserve">часть I; 2014, № 216, часть I, № 222, часть </w:t>
      </w:r>
      <w:r>
        <w:rPr>
          <w:color w:val="000000"/>
          <w:szCs w:val="27"/>
        </w:rPr>
        <w:t xml:space="preserve">I; 2015, № 227, часть I, № 229,</w:t>
      </w:r>
      <w:r>
        <w:rPr>
          <w:color w:val="000000"/>
          <w:szCs w:val="27"/>
        </w:rPr>
        <w:br/>
      </w:r>
      <w:r>
        <w:rPr>
          <w:color w:val="000000"/>
          <w:szCs w:val="27"/>
        </w:rPr>
        <w:t xml:space="preserve">часть I; 2016, № 238; Официальный интернет-портал правовой</w:t>
      </w:r>
      <w:r>
        <w:rPr>
          <w:color w:val="000000"/>
          <w:szCs w:val="27"/>
        </w:rPr>
        <w:t xml:space="preserve"> информации </w:t>
      </w:r>
      <w:r>
        <w:rPr>
          <w:color w:val="000000"/>
          <w:szCs w:val="27"/>
        </w:rPr>
        <w:t xml:space="preserve">(</w:t>
      </w:r>
      <w:r>
        <w:rPr>
          <w:color w:val="000000"/>
          <w:szCs w:val="27"/>
        </w:rPr>
        <w:fldChar w:fldCharType="begin"/>
      </w:r>
      <w:r>
        <w:rPr>
          <w:color w:val="000000"/>
          <w:szCs w:val="27"/>
        </w:rPr>
        <w:instrText xml:space="preserve"> HYPERLINK "http://www.pravo.gov.ru" </w:instrText>
      </w:r>
      <w:r>
        <w:rPr>
          <w:color w:val="000000"/>
          <w:szCs w:val="27"/>
        </w:rPr>
        <w:fldChar w:fldCharType="separate"/>
      </w:r>
      <w:r>
        <w:rPr>
          <w:rStyle w:val="875"/>
          <w:color w:val="000000"/>
          <w:szCs w:val="27"/>
          <w:u w:val="none"/>
        </w:rPr>
        <w:t xml:space="preserve">www.pravo.gov.ru</w:t>
      </w:r>
      <w:r>
        <w:rPr>
          <w:color w:val="000000"/>
          <w:szCs w:val="27"/>
        </w:rPr>
        <w:fldChar w:fldCharType="end"/>
      </w:r>
      <w:r>
        <w:rPr>
          <w:color w:val="000000"/>
          <w:szCs w:val="27"/>
        </w:rPr>
        <w:t xml:space="preserve">),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21 декабря 2016 года, 3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февраля</w:t>
      </w:r>
      <w:r>
        <w:rPr>
          <w:color w:val="000000"/>
          <w:szCs w:val="27"/>
        </w:rPr>
        <w:t xml:space="preserve"> 2017 года, 6 марта</w:t>
      </w:r>
      <w:r>
        <w:rPr>
          <w:color w:val="000000"/>
          <w:szCs w:val="27"/>
        </w:rPr>
        <w:br/>
      </w:r>
      <w:r>
        <w:rPr>
          <w:color w:val="000000"/>
          <w:szCs w:val="27"/>
        </w:rPr>
        <w:t xml:space="preserve">20</w:t>
      </w:r>
      <w:r>
        <w:rPr>
          <w:color w:val="000000"/>
          <w:szCs w:val="27"/>
        </w:rPr>
        <w:t xml:space="preserve">17 года, 9 июля 2018 года,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2 ноября 2018 года, 7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мая 2019 года</w:t>
      </w:r>
      <w:r>
        <w:rPr>
          <w:color w:val="000000"/>
          <w:szCs w:val="27"/>
        </w:rPr>
        <w:t xml:space="preserve">, 24 июня</w:t>
      </w:r>
      <w:r>
        <w:rPr>
          <w:color w:val="000000"/>
          <w:szCs w:val="27"/>
        </w:rPr>
        <w:br/>
      </w:r>
      <w:r>
        <w:rPr>
          <w:color w:val="000000"/>
          <w:szCs w:val="27"/>
        </w:rPr>
        <w:t xml:space="preserve">2021 года</w:t>
      </w:r>
      <w:r>
        <w:rPr>
          <w:color w:val="000000"/>
          <w:szCs w:val="27"/>
        </w:rPr>
        <w:t xml:space="preserve">, </w:t>
      </w:r>
      <w:r>
        <w:rPr>
          <w:color w:val="000000"/>
          <w:szCs w:val="27"/>
        </w:rPr>
        <w:t xml:space="preserve">21 декабря 2021 года,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2 марта 2022 года</w:t>
      </w:r>
      <w:r>
        <w:rPr>
          <w:color w:val="000000"/>
          <w:szCs w:val="27"/>
        </w:rPr>
        <w:t xml:space="preserve">,</w:t>
      </w:r>
      <w:r>
        <w:rPr>
          <w:color w:val="000000"/>
          <w:szCs w:val="27"/>
        </w:rPr>
        <w:t xml:space="preserve"> 6 октября 2022 года</w:t>
      </w:r>
      <w:r>
        <w:rPr>
          <w:color w:val="000000"/>
          <w:szCs w:val="27"/>
        </w:rPr>
        <w:t xml:space="preserve">,</w:t>
      </w:r>
      <w:r>
        <w:rPr>
          <w:color w:val="000000"/>
          <w:szCs w:val="27"/>
        </w:rPr>
        <w:t xml:space="preserve"> 1 марта 2023 года, 7 апреля 2023 года</w:t>
      </w:r>
      <w:r>
        <w:rPr>
          <w:color w:val="000000"/>
          <w:szCs w:val="27"/>
        </w:rPr>
        <w:t xml:space="preserve">,</w:t>
      </w: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7 июня 2023 года</w:t>
      </w:r>
      <w:r>
        <w:rPr>
          <w:color w:val="000000"/>
          <w:szCs w:val="27"/>
        </w:rPr>
        <w:t xml:space="preserve">, 4 октября 2023 года, 7 ноября 20</w:t>
      </w:r>
      <w:r>
        <w:rPr>
          <w:color w:val="000000"/>
          <w:szCs w:val="27"/>
        </w:rPr>
        <w:t xml:space="preserve">23 года</w:t>
      </w:r>
      <w:r>
        <w:rPr>
          <w:color w:val="000000"/>
          <w:szCs w:val="27"/>
        </w:rPr>
        <w:t xml:space="preserve">, 5 февраля 2024 года</w:t>
      </w:r>
      <w:r>
        <w:rPr>
          <w:color w:val="000000"/>
          <w:szCs w:val="27"/>
        </w:rPr>
        <w:t xml:space="preserve">, 6 марта 2024 года</w:t>
      </w:r>
      <w:r>
        <w:rPr>
          <w:color w:val="000000"/>
          <w:szCs w:val="27"/>
        </w:rPr>
        <w:t xml:space="preserve">) </w:t>
      </w:r>
      <w:r>
        <w:rPr>
          <w:rFonts w:ascii="PT Astra Serif" w:hAnsi="PT Astra Serif" w:cs="PT Astra Serif"/>
          <w:color w:val="auto"/>
          <w:szCs w:val="27"/>
        </w:rPr>
        <w:t xml:space="preserve">следующие изменения:</w:t>
      </w: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709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1)</w:t>
      </w:r>
      <w:r>
        <w:rPr>
          <w:rFonts w:ascii="PT Astra Serif" w:hAnsi="PT Astra Serif"/>
          <w:color w:val="auto"/>
          <w:szCs w:val="27"/>
        </w:rPr>
        <w:t xml:space="preserve"> </w:t>
      </w:r>
      <w:r>
        <w:rPr>
          <w:rFonts w:ascii="PT Astra Serif" w:hAnsi="PT Astra Serif" w:cs="PT Astra Serif"/>
          <w:color w:val="auto"/>
          <w:szCs w:val="27"/>
        </w:rPr>
        <w:t xml:space="preserve">в части 2.1</w:t>
      </w:r>
      <w:r>
        <w:rPr>
          <w:rFonts w:ascii="PT Astra Serif" w:hAnsi="PT Astra Serif" w:cs="PT Astra Serif"/>
          <w:color w:val="auto"/>
          <w:szCs w:val="27"/>
        </w:rPr>
        <w:t xml:space="preserve"> статьи 6: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  <w:szCs w:val="27"/>
        </w:rPr>
        <w:t xml:space="preserve">а) в </w:t>
      </w:r>
      <w:r>
        <w:rPr>
          <w:rFonts w:ascii="PT Astra Serif" w:hAnsi="PT Astra Serif" w:cs="PT Astra Serif"/>
          <w:color w:val="auto"/>
          <w:szCs w:val="27"/>
        </w:rPr>
        <w:t xml:space="preserve">абзаце первом слова «а также» исключить, после слов «для собственных нужд» дополнить словами «для индивидуального жилищного строительства, а также граждане, имеющие в собственнос</w:t>
      </w:r>
      <w:r>
        <w:rPr>
          <w:rFonts w:ascii="PT Astra Serif" w:hAnsi="PT Astra Serif" w:cs="PT Astra Serif"/>
          <w:color w:val="auto"/>
          <w:szCs w:val="27"/>
        </w:rPr>
        <w:t xml:space="preserve">ти жилое помещение, постоянно проживающие на территории Алтайского края, осуществляют заготовку либо приобретение древесины для собственных нужд для ремонта жилого дома, части жилого дома, иных жилых помещений, ремонта (возведения) хозяйственных построек»;</w:t>
      </w:r>
      <w:r>
        <w:rPr>
          <w:rFonts w:ascii="PT Astra Serif" w:hAnsi="PT Astra Serif" w:cs="PT Astra Serif"/>
          <w:color w:val="auto"/>
        </w:rPr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б) пункт «а» изложить в следующей редакции:</w:t>
      </w:r>
      <w:r/>
    </w:p>
    <w:p>
      <w:pPr>
        <w:ind w:firstLine="709"/>
        <w:widowControl w:val="off"/>
        <w:rPr>
          <w:rFonts w:ascii="PT Astra Serif" w:hAnsi="PT Astra Serif"/>
          <w:color w:val="auto"/>
        </w:rPr>
      </w:pPr>
      <w:r>
        <w:rPr>
          <w:rFonts w:ascii="PT Astra Serif" w:hAnsi="PT Astra Serif" w:cs="PT Astra Serif"/>
          <w:color w:val="auto"/>
          <w:szCs w:val="27"/>
        </w:rPr>
        <w:t xml:space="preserve">«а)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</w:t>
      </w:r>
      <w:r>
        <w:rPr>
          <w:rFonts w:ascii="PT Astra Serif" w:hAnsi="PT Astra Serif" w:cs="PT Astra Serif"/>
          <w:color w:val="auto"/>
          <w:szCs w:val="27"/>
        </w:rPr>
        <w:t xml:space="preserve">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tooltip="https://login.consultant.ru/link/?req=doc&amp;base=LAW&amp;n=465549&amp;dst=100339" w:history="1">
        <w:r>
          <w:rPr>
            <w:rStyle w:val="671"/>
            <w:rFonts w:ascii="PT Astra Serif" w:hAnsi="PT Astra Serif" w:cs="PT Astra Serif"/>
            <w:color w:val="auto"/>
            <w:szCs w:val="27"/>
            <w:u w:val="none"/>
          </w:rPr>
          <w:t xml:space="preserve">пункте 6 статьи 1</w:t>
        </w:r>
      </w:hyperlink>
      <w:r>
        <w:rPr>
          <w:rFonts w:ascii="PT Astra Serif" w:hAnsi="PT Astra Serif" w:cs="PT Astra Serif"/>
          <w:color w:val="auto"/>
          <w:szCs w:val="27"/>
        </w:rPr>
        <w:t xml:space="preserve"> Федерального закона от 31 мая 1996 </w:t>
      </w:r>
      <w:r>
        <w:rPr>
          <w:rFonts w:ascii="PT Astra Serif" w:hAnsi="PT Astra Serif" w:cs="PT Astra Serif"/>
          <w:color w:val="auto"/>
          <w:szCs w:val="27"/>
        </w:rPr>
        <w:t xml:space="preserve">года № 61-ФЗ «Об обороне»,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11" w:tooltip="https://login.consultant.ru/link/?req=doc&amp;base=LAW&amp;n=472846&amp;dst=100410" w:history="1">
        <w:r>
          <w:rPr>
            <w:rStyle w:val="671"/>
            <w:rFonts w:ascii="PT Astra Serif" w:hAnsi="PT Astra Serif" w:cs="PT Astra Serif"/>
            <w:color w:val="auto"/>
            <w:szCs w:val="27"/>
            <w:u w:val="none"/>
          </w:rPr>
          <w:t xml:space="preserve">пунктами 3</w:t>
        </w:r>
      </w:hyperlink>
      <w:r>
        <w:rPr>
          <w:rFonts w:ascii="PT Astra Serif" w:hAnsi="PT Astra Serif" w:cs="PT Astra Serif"/>
          <w:color w:val="auto"/>
          <w:szCs w:val="27"/>
        </w:rPr>
        <w:t xml:space="preserve">, </w:t>
      </w:r>
      <w:hyperlink r:id="rId12" w:tooltip="https://login.consultant.ru/link/?req=doc&amp;base=LAW&amp;n=472846&amp;dst=295" w:history="1">
        <w:r>
          <w:rPr>
            <w:rStyle w:val="671"/>
            <w:rFonts w:ascii="PT Astra Serif" w:hAnsi="PT Astra Serif" w:cs="PT Astra Serif"/>
            <w:color w:val="auto"/>
            <w:szCs w:val="27"/>
            <w:u w:val="none"/>
          </w:rPr>
          <w:t xml:space="preserve">5</w:t>
        </w:r>
      </w:hyperlink>
      <w:r>
        <w:rPr>
          <w:rFonts w:ascii="PT Astra Serif" w:hAnsi="PT Astra Serif" w:cs="PT Astra Serif"/>
          <w:color w:val="auto"/>
          <w:szCs w:val="27"/>
        </w:rPr>
        <w:t xml:space="preserve">, </w:t>
      </w:r>
      <w:hyperlink r:id="rId13" w:tooltip="https://login.consultant.ru/link/?req=doc&amp;base=LAW&amp;n=472846&amp;dst=1187" w:history="1">
        <w:r>
          <w:rPr>
            <w:rStyle w:val="671"/>
            <w:rFonts w:ascii="PT Astra Serif" w:hAnsi="PT Astra Serif" w:cs="PT Astra Serif"/>
            <w:color w:val="auto"/>
            <w:szCs w:val="27"/>
            <w:u w:val="none"/>
          </w:rPr>
          <w:t xml:space="preserve">7 статьи 38</w:t>
        </w:r>
      </w:hyperlink>
      <w:r>
        <w:rPr>
          <w:rFonts w:ascii="PT Astra Serif" w:hAnsi="PT Astra Serif" w:cs="PT Astra Serif"/>
          <w:color w:val="auto"/>
          <w:szCs w:val="27"/>
        </w:rPr>
        <w:t xml:space="preserve"> Федерального закона от 28 марта 1998 года № 53</w:t>
      </w:r>
      <w:r>
        <w:rPr>
          <w:rFonts w:ascii="PT Astra Serif" w:hAnsi="PT Astra Serif" w:cs="PT Astra Serif"/>
          <w:color w:val="auto"/>
          <w:szCs w:val="27"/>
        </w:rPr>
        <w:t xml:space="preserve">-ФЗ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</w:t>
      </w:r>
      <w:r>
        <w:rPr>
          <w:rFonts w:ascii="PT Astra Serif" w:hAnsi="PT Astra Serif" w:cs="PT Astra Serif"/>
          <w:color w:val="auto"/>
          <w:szCs w:val="27"/>
        </w:rPr>
        <w:t xml:space="preserve">участках, примыкающих к районам проведения специальной военной операции на территориях Донецкой Народной Республики, Луганской Народно</w:t>
      </w:r>
      <w:r>
        <w:rPr>
          <w:rFonts w:ascii="PT Astra Serif" w:hAnsi="PT Astra Serif" w:cs="PT Astra Serif"/>
          <w:color w:val="auto"/>
          <w:szCs w:val="27"/>
        </w:rPr>
        <w:t xml:space="preserve">й Республики и Украины (далее –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</w:t>
      </w:r>
      <w:r>
        <w:rPr>
          <w:rFonts w:ascii="PT Astra Serif" w:hAnsi="PT Astra Serif" w:cs="PT Astra Serif"/>
          <w:color w:val="auto"/>
          <w:szCs w:val="27"/>
        </w:rPr>
        <w:t xml:space="preserve">ия специальной военной операции</w:t>
      </w:r>
      <w:r>
        <w:rPr>
          <w:rFonts w:ascii="PT Astra Serif" w:hAnsi="PT Astra Serif" w:cs="PT Astra Serif"/>
          <w:color w:val="auto"/>
          <w:szCs w:val="27"/>
        </w:rPr>
        <w:t xml:space="preserve">;»;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2) в статье 8:</w:t>
      </w:r>
      <w:r/>
    </w:p>
    <w:p>
      <w:pPr>
        <w:ind w:firstLine="709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а) в части 4: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  <w:szCs w:val="27"/>
        </w:rPr>
        <w:t xml:space="preserve">в пункте 1: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  <w:szCs w:val="27"/>
        </w:rPr>
        <w:t xml:space="preserve">подпункт «и»</w:t>
      </w:r>
      <w:r>
        <w:rPr>
          <w:rFonts w:ascii="PT Astra Serif" w:hAnsi="PT Astra Serif" w:cs="PT Astra Serif"/>
          <w:color w:val="auto"/>
          <w:szCs w:val="27"/>
        </w:rPr>
        <w:t xml:space="preserve"> </w:t>
      </w:r>
      <w:r>
        <w:rPr>
          <w:rFonts w:ascii="PT Astra Serif" w:hAnsi="PT Astra Serif" w:cs="PT Astra Serif"/>
          <w:color w:val="auto"/>
          <w:szCs w:val="27"/>
        </w:rPr>
        <w:t xml:space="preserve">изложить в следующей редакции:</w:t>
      </w:r>
      <w:r/>
    </w:p>
    <w:p>
      <w:pPr>
        <w:ind w:firstLine="709"/>
        <w:widowControl w:val="off"/>
        <w:rPr>
          <w:rFonts w:ascii="PT Astra Serif" w:hAnsi="PT Astra Serif"/>
          <w:color w:val="auto"/>
        </w:rPr>
      </w:pPr>
      <w:r>
        <w:rPr>
          <w:rFonts w:ascii="PT Astra Serif" w:hAnsi="PT Astra Serif" w:cs="PT Astra Serif"/>
          <w:color w:val="auto"/>
          <w:szCs w:val="27"/>
        </w:rPr>
        <w:t xml:space="preserve">«и) копии документов, подтверждающих факт участия военнослужащего в специальной военной операции (для категорий граждан, указанных в </w:t>
      </w:r>
      <w:hyperlink w:tooltip="#P172" w:anchor="P172" w:history="1">
        <w:r>
          <w:rPr>
            <w:rStyle w:val="671"/>
            <w:rFonts w:ascii="PT Astra Serif" w:hAnsi="PT Astra Serif" w:cs="PT Astra Serif"/>
            <w:color w:val="auto"/>
            <w:szCs w:val="27"/>
            <w:u w:val="none"/>
          </w:rPr>
          <w:t xml:space="preserve">части 2.1 статьи 6</w:t>
        </w:r>
      </w:hyperlink>
      <w:r>
        <w:rPr>
          <w:rFonts w:ascii="PT Astra Serif" w:hAnsi="PT Astra Serif" w:cs="PT Astra Serif"/>
          <w:color w:val="auto"/>
          <w:szCs w:val="27"/>
        </w:rPr>
        <w:t xml:space="preserve"> настоящего Закона);»;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vertAlign w:val="subscript"/>
        </w:rPr>
      </w:pPr>
      <w:r>
        <w:rPr>
          <w:rFonts w:ascii="PT Astra Serif" w:hAnsi="PT Astra Serif"/>
          <w:color w:val="auto"/>
        </w:rPr>
        <w:t xml:space="preserve">в пункте «к» слова «граждан, указанных в </w:t>
      </w:r>
      <w:hyperlink w:tooltip="#P173" w:anchor="P173" w:history="1">
        <w:r>
          <w:rPr>
            <w:rFonts w:ascii="PT Astra Serif" w:hAnsi="PT Astra Serif"/>
            <w:color w:val="auto"/>
          </w:rPr>
          <w:t xml:space="preserve">подпункте «а» части 2.1 </w:t>
        </w:r>
        <w:r>
          <w:rPr>
            <w:rFonts w:ascii="PT Astra Serif" w:hAnsi="PT Astra Serif"/>
            <w:color w:val="auto"/>
          </w:rPr>
          <w:br/>
        </w:r>
        <w:r>
          <w:rPr>
            <w:rFonts w:ascii="PT Astra Serif" w:hAnsi="PT Astra Serif"/>
            <w:color w:val="auto"/>
          </w:rPr>
          <w:t xml:space="preserve">статьи 6</w:t>
        </w:r>
      </w:hyperlink>
      <w:r>
        <w:rPr>
          <w:rFonts w:ascii="PT Astra Serif" w:hAnsi="PT Astra Serif"/>
          <w:color w:val="auto"/>
        </w:rPr>
        <w:t xml:space="preserve">» заменить словами «</w:t>
      </w:r>
      <w:r>
        <w:rPr>
          <w:rFonts w:ascii="PT Astra Serif" w:hAnsi="PT Astra Serif"/>
          <w:color w:val="auto"/>
        </w:rPr>
        <w:t xml:space="preserve">военнослужащих»;</w:t>
      </w:r>
      <w:r/>
    </w:p>
    <w:p>
      <w:pPr>
        <w:ind w:firstLine="709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пункт 2 дополнить подпунктами «г» и «д» следующего содержания:</w:t>
      </w:r>
      <w:r/>
    </w:p>
    <w:p>
      <w:pPr>
        <w:ind w:firstLine="709"/>
        <w:widowControl w:val="off"/>
        <w:rPr>
          <w:rFonts w:ascii="PT Astra Serif" w:hAnsi="PT Astra Serif" w:eastAsia="Times New Roman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«г) </w:t>
      </w:r>
      <w:r>
        <w:rPr>
          <w:rFonts w:ascii="PT Astra Serif" w:hAnsi="PT Astra Serif" w:eastAsia="Times New Roman" w:cs="PT Astra Serif"/>
          <w:color w:val="auto"/>
          <w:szCs w:val="27"/>
        </w:rPr>
        <w:t xml:space="preserve">копии документов, подтверждающих факт </w:t>
      </w:r>
      <w:r>
        <w:rPr>
          <w:rFonts w:ascii="PT Astra Serif" w:hAnsi="PT Astra Serif" w:cs="PT Astra Serif"/>
          <w:color w:val="auto"/>
          <w:szCs w:val="27"/>
        </w:rPr>
        <w:t xml:space="preserve">участия военнослужащего в специальной военной операции</w:t>
      </w:r>
      <w:r>
        <w:rPr>
          <w:rFonts w:ascii="PT Astra Serif" w:hAnsi="PT Astra Serif" w:eastAsia="Times New Roman" w:cs="PT Astra Serif"/>
          <w:color w:val="auto"/>
          <w:szCs w:val="27"/>
        </w:rPr>
        <w:t xml:space="preserve"> (для категорий граждан, указанных </w:t>
      </w:r>
      <w:r>
        <w:rPr>
          <w:rFonts w:ascii="PT Astra Serif" w:hAnsi="PT Astra Serif" w:eastAsia="Times New Roman" w:cs="PT Astra Serif"/>
          <w:color w:val="auto"/>
          <w:szCs w:val="27"/>
        </w:rPr>
        <w:br/>
      </w:r>
      <w:r>
        <w:rPr>
          <w:rFonts w:ascii="PT Astra Serif" w:hAnsi="PT Astra Serif" w:eastAsia="Times New Roman" w:cs="PT Astra Serif"/>
          <w:color w:val="auto"/>
          <w:szCs w:val="27"/>
        </w:rPr>
        <w:t xml:space="preserve">в </w:t>
      </w:r>
      <w:hyperlink w:tooltip="#P172" w:anchor="P172" w:history="1">
        <w:r>
          <w:rPr>
            <w:rStyle w:val="671"/>
            <w:rFonts w:ascii="PT Astra Serif" w:hAnsi="PT Astra Serif" w:eastAsia="Times New Roman" w:cs="PT Astra Serif"/>
            <w:color w:val="auto"/>
            <w:szCs w:val="27"/>
            <w:u w:val="none"/>
          </w:rPr>
          <w:t xml:space="preserve">части 2.1 статьи 6</w:t>
        </w:r>
      </w:hyperlink>
      <w:r>
        <w:rPr>
          <w:rFonts w:ascii="PT Astra Serif" w:hAnsi="PT Astra Serif" w:eastAsia="Times New Roman" w:cs="PT Astra Serif"/>
          <w:color w:val="auto"/>
          <w:szCs w:val="27"/>
        </w:rPr>
        <w:t xml:space="preserve"> настоящего Закона);</w:t>
      </w:r>
      <w:r/>
    </w:p>
    <w:p>
      <w:pPr>
        <w:ind w:firstLine="709"/>
        <w:widowControl w:val="off"/>
        <w:rPr>
          <w:rFonts w:ascii="PT Astra Serif" w:hAnsi="PT Astra Serif" w:eastAsia="Times New Roman" w:cs="PT Astra Serif"/>
          <w:color w:val="auto"/>
        </w:rPr>
      </w:pPr>
      <w:r>
        <w:rPr>
          <w:rFonts w:ascii="PT Astra Serif" w:hAnsi="PT Astra Serif" w:eastAsia="Times New Roman" w:cs="PT Astra Serif"/>
          <w:color w:val="auto"/>
          <w:szCs w:val="27"/>
        </w:rPr>
        <w:t xml:space="preserve">д) копии документов, подтверждающих статус члена семьи (ребенка, родителя, супруга (супруги) военнослужащих (для категории граждан, указанной в подпункте «б» части 2.1 статьи 6 настоящего Закона).»;</w:t>
      </w:r>
      <w:r/>
    </w:p>
    <w:p>
      <w:pPr>
        <w:ind w:firstLine="709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б) </w:t>
      </w:r>
      <w:r>
        <w:rPr>
          <w:rFonts w:ascii="PT Astra Serif" w:hAnsi="PT Astra Serif" w:cs="PT Astra Serif"/>
          <w:color w:val="auto"/>
          <w:szCs w:val="27"/>
        </w:rPr>
        <w:t xml:space="preserve">часть</w:t>
      </w:r>
      <w:bookmarkStart w:id="0" w:name="_GoBack"/>
      <w:r/>
      <w:bookmarkEnd w:id="0"/>
      <w:r>
        <w:rPr>
          <w:rFonts w:ascii="PT Astra Serif" w:hAnsi="PT Astra Serif" w:cs="PT Astra Serif"/>
          <w:color w:val="auto"/>
          <w:szCs w:val="27"/>
        </w:rPr>
        <w:t xml:space="preserve"> 17 после слов «пункта 1,» дополнить словами «подпунктах «г» и «д» пункта 2».</w:t>
      </w:r>
      <w:r/>
    </w:p>
    <w:p>
      <w:pPr>
        <w:ind w:firstLine="709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/>
          <w:color w:val="auto"/>
          <w:szCs w:val="27"/>
        </w:rPr>
      </w:r>
      <w:r/>
    </w:p>
    <w:p>
      <w:pPr>
        <w:ind w:firstLine="709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b/>
          <w:iCs/>
          <w:color w:val="auto"/>
          <w:szCs w:val="27"/>
        </w:rPr>
        <w:t xml:space="preserve">Статья 2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pStyle w:val="746"/>
        <w:ind w:firstLine="709"/>
        <w:jc w:val="both"/>
        <w:widowControl w:val="off"/>
        <w:rPr>
          <w:rFonts w:ascii="PT Astra Serif" w:hAnsi="PT Astra Serif"/>
          <w:color w:val="auto"/>
          <w:sz w:val="28"/>
          <w:szCs w:val="27"/>
        </w:rPr>
      </w:pPr>
      <w:r>
        <w:rPr>
          <w:rFonts w:ascii="PT Astra Serif" w:hAnsi="PT Astra Serif" w:cs="PT Astra Serif"/>
          <w:color w:val="auto"/>
          <w:sz w:val="28"/>
          <w:szCs w:val="27"/>
        </w:rPr>
        <w:t xml:space="preserve">Настоящий Закон вступает в силу со дня его официального опубликования.</w:t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709"/>
        <w:widowControl w:val="off"/>
        <w:rPr>
          <w:rFonts w:ascii="PT Astra Serif" w:hAnsi="PT Astra Serif" w:cs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</w:r>
      <w:r/>
    </w:p>
    <w:p>
      <w:pPr>
        <w:ind w:firstLine="0"/>
        <w:jc w:val="left"/>
        <w:widowControl w:val="off"/>
        <w:rPr>
          <w:rFonts w:ascii="PT Astra Serif" w:hAnsi="PT Astra Serif"/>
          <w:color w:val="auto"/>
          <w:szCs w:val="27"/>
        </w:rPr>
      </w:pPr>
      <w:r>
        <w:rPr>
          <w:rFonts w:ascii="PT Astra Serif" w:hAnsi="PT Astra Serif" w:cs="PT Astra Serif"/>
          <w:color w:val="auto"/>
          <w:szCs w:val="27"/>
        </w:rPr>
        <w:t xml:space="preserve">Губернатор Алтайского края                                                                 </w:t>
      </w:r>
      <w:r>
        <w:rPr>
          <w:rFonts w:ascii="PT Astra Serif" w:hAnsi="PT Astra Serif" w:cs="PT Astra Serif"/>
          <w:color w:val="auto"/>
          <w:szCs w:val="27"/>
        </w:rPr>
        <w:t xml:space="preserve">В.П. </w:t>
      </w:r>
      <w:r>
        <w:rPr>
          <w:rFonts w:ascii="PT Astra Serif" w:hAnsi="PT Astra Serif" w:cs="PT Astra Serif"/>
          <w:color w:val="auto"/>
          <w:szCs w:val="27"/>
        </w:rPr>
        <w:t xml:space="preserve">Томенко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right"/>
      <w:rPr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 xml:space="preserve"> PAGE 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t xml:space="preserve">2</w:t>
    </w:r>
    <w:r>
      <w:rPr>
        <w:color w:val="000000"/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ind w:firstLine="0"/>
      <w:jc w:val="right"/>
      <w:keepNext w:val="0"/>
      <w:rPr>
        <w:rFonts w:ascii="PT Astra Serif" w:hAnsi="PT Astra Serif" w:cs="PT Astra Serif"/>
        <w:color w:val="000000"/>
        <w:szCs w:val="28"/>
      </w:rPr>
    </w:pPr>
    <w:r>
      <w:rPr>
        <w:rFonts w:ascii="PT Astra Serif" w:hAnsi="PT Astra Serif" w:cs="PT Astra Serif"/>
        <w:color w:val="000000"/>
        <w:szCs w:val="28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ind w:firstLine="540"/>
      <w:jc w:val="both"/>
    </w:pPr>
    <w:rPr>
      <w:color w:val="0000ff"/>
      <w:sz w:val="28"/>
      <w:szCs w:val="28"/>
      <w:lang w:eastAsia="ru-RU"/>
    </w:rPr>
  </w:style>
  <w:style w:type="paragraph" w:styleId="659">
    <w:name w:val="Heading 1"/>
    <w:basedOn w:val="658"/>
    <w:next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qFormat/>
    <w:pPr>
      <w:jc w:val="center"/>
      <w:keepNext/>
      <w:shd w:val="clear" w:color="auto" w:fill="ffffff"/>
      <w:widowControl w:val="off"/>
      <w:outlineLvl w:val="1"/>
    </w:pPr>
    <w:rPr>
      <w:szCs w:val="20"/>
    </w:rPr>
  </w:style>
  <w:style w:type="paragraph" w:styleId="661">
    <w:name w:val="Heading 3"/>
    <w:basedOn w:val="658"/>
    <w:next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next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next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>
    <w:name w:val="Hyperlink"/>
    <w:uiPriority w:val="99"/>
    <w:unhideWhenUsed/>
    <w:rPr>
      <w:color w:val="0000ff" w:themeColor="hyperlink"/>
      <w:u w:val="single"/>
    </w:rPr>
  </w:style>
  <w:style w:type="character" w:styleId="672">
    <w:name w:val="footnote reference"/>
    <w:basedOn w:val="668"/>
    <w:uiPriority w:val="99"/>
    <w:unhideWhenUsed/>
    <w:rPr>
      <w:vertAlign w:val="superscript"/>
    </w:rPr>
  </w:style>
  <w:style w:type="character" w:styleId="673">
    <w:name w:val="endnote reference"/>
    <w:basedOn w:val="668"/>
    <w:uiPriority w:val="99"/>
    <w:semiHidden/>
    <w:unhideWhenUsed/>
    <w:rPr>
      <w:vertAlign w:val="superscript"/>
    </w:rPr>
  </w:style>
  <w:style w:type="character" w:styleId="674" w:customStyle="1">
    <w:name w:val="Интернет-ссылка"/>
    <w:uiPriority w:val="99"/>
    <w:unhideWhenUsed/>
    <w:rPr>
      <w:color w:val="0563c1"/>
      <w:u w:val="single"/>
    </w:rPr>
  </w:style>
  <w:style w:type="character" w:styleId="675" w:customStyle="1">
    <w:name w:val="Привязка сноски"/>
    <w:rPr>
      <w:vertAlign w:val="superscript"/>
    </w:rPr>
  </w:style>
  <w:style w:type="character" w:styleId="676" w:customStyle="1">
    <w:name w:val="Footnote Characters"/>
    <w:basedOn w:val="668"/>
    <w:uiPriority w:val="99"/>
    <w:unhideWhenUsed/>
    <w:qFormat/>
    <w:rPr>
      <w:vertAlign w:val="superscript"/>
    </w:rPr>
  </w:style>
  <w:style w:type="character" w:styleId="677" w:customStyle="1">
    <w:name w:val="Привязка концевой сноски"/>
    <w:rPr>
      <w:vertAlign w:val="superscript"/>
    </w:rPr>
  </w:style>
  <w:style w:type="character" w:styleId="678" w:customStyle="1">
    <w:name w:val="Endnote Characters"/>
    <w:basedOn w:val="668"/>
    <w:uiPriority w:val="99"/>
    <w:semiHidden/>
    <w:unhideWhenUsed/>
    <w:qFormat/>
    <w:rPr>
      <w:vertAlign w:val="superscript"/>
    </w:rPr>
  </w:style>
  <w:style w:type="character" w:styleId="679" w:customStyle="1">
    <w:name w:val="Heading 1 Char"/>
    <w:basedOn w:val="668"/>
    <w:uiPriority w:val="9"/>
    <w:qFormat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68"/>
    <w:uiPriority w:val="9"/>
    <w:qFormat/>
    <w:rPr>
      <w:rFonts w:ascii="Arial" w:hAnsi="Arial" w:eastAsia="Arial" w:cs="Arial"/>
      <w:sz w:val="34"/>
    </w:rPr>
  </w:style>
  <w:style w:type="character" w:styleId="681" w:customStyle="1">
    <w:name w:val="Heading 3 Char"/>
    <w:basedOn w:val="668"/>
    <w:uiPriority w:val="9"/>
    <w:qFormat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6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68"/>
    <w:uiPriority w:val="10"/>
    <w:qFormat/>
    <w:rPr>
      <w:sz w:val="48"/>
      <w:szCs w:val="48"/>
    </w:rPr>
  </w:style>
  <w:style w:type="character" w:styleId="689" w:customStyle="1">
    <w:name w:val="Subtitle Char"/>
    <w:basedOn w:val="668"/>
    <w:uiPriority w:val="11"/>
    <w:qFormat/>
    <w:rPr>
      <w:sz w:val="24"/>
      <w:szCs w:val="24"/>
    </w:rPr>
  </w:style>
  <w:style w:type="character" w:styleId="690" w:customStyle="1">
    <w:name w:val="Quote Char"/>
    <w:uiPriority w:val="29"/>
    <w:qFormat/>
    <w:rPr>
      <w:i/>
    </w:rPr>
  </w:style>
  <w:style w:type="character" w:styleId="691" w:customStyle="1">
    <w:name w:val="Intense Quote Char"/>
    <w:uiPriority w:val="30"/>
    <w:qFormat/>
    <w:rPr>
      <w:i/>
    </w:rPr>
  </w:style>
  <w:style w:type="character" w:styleId="692" w:customStyle="1">
    <w:name w:val="Footnote Text Char"/>
    <w:uiPriority w:val="99"/>
    <w:qFormat/>
    <w:rPr>
      <w:sz w:val="18"/>
    </w:rPr>
  </w:style>
  <w:style w:type="character" w:styleId="693" w:customStyle="1">
    <w:name w:val="Endnote Text Char"/>
    <w:uiPriority w:val="99"/>
    <w:qFormat/>
    <w:rPr>
      <w:sz w:val="20"/>
    </w:rPr>
  </w:style>
  <w:style w:type="character" w:styleId="69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9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Название Знак"/>
    <w:uiPriority w:val="10"/>
    <w:qFormat/>
    <w:rPr>
      <w:sz w:val="48"/>
      <w:szCs w:val="48"/>
    </w:rPr>
  </w:style>
  <w:style w:type="character" w:styleId="704" w:customStyle="1">
    <w:name w:val="Подзаголовок Знак"/>
    <w:uiPriority w:val="11"/>
    <w:qFormat/>
    <w:rPr>
      <w:sz w:val="24"/>
      <w:szCs w:val="24"/>
    </w:rPr>
  </w:style>
  <w:style w:type="character" w:styleId="705" w:customStyle="1">
    <w:name w:val="Цитата 2 Знак"/>
    <w:uiPriority w:val="29"/>
    <w:qFormat/>
    <w:rPr>
      <w:i/>
    </w:rPr>
  </w:style>
  <w:style w:type="character" w:styleId="706" w:customStyle="1">
    <w:name w:val="Выделенная цитата Знак"/>
    <w:uiPriority w:val="30"/>
    <w:qFormat/>
    <w:rPr>
      <w:i/>
    </w:rPr>
  </w:style>
  <w:style w:type="character" w:styleId="707" w:customStyle="1">
    <w:name w:val="Header Char"/>
    <w:uiPriority w:val="99"/>
    <w:qFormat/>
  </w:style>
  <w:style w:type="character" w:styleId="708" w:customStyle="1">
    <w:name w:val="Footer Char"/>
    <w:uiPriority w:val="99"/>
    <w:qFormat/>
  </w:style>
  <w:style w:type="character" w:styleId="709" w:customStyle="1">
    <w:name w:val="Caption Char"/>
    <w:uiPriority w:val="99"/>
    <w:qFormat/>
  </w:style>
  <w:style w:type="character" w:styleId="710" w:customStyle="1">
    <w:name w:val="Текст сноски Знак"/>
    <w:uiPriority w:val="99"/>
    <w:qFormat/>
    <w:rPr>
      <w:sz w:val="18"/>
    </w:rPr>
  </w:style>
  <w:style w:type="character" w:styleId="711" w:customStyle="1">
    <w:name w:val="Текст концевой сноски Знак"/>
    <w:uiPriority w:val="99"/>
    <w:qFormat/>
    <w:rPr>
      <w:sz w:val="20"/>
    </w:rPr>
  </w:style>
  <w:style w:type="character" w:styleId="712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13" w:customStyle="1">
    <w:name w:val="Верхний колонтитул Знак"/>
    <w:uiPriority w:val="99"/>
    <w:qFormat/>
    <w:rPr>
      <w:color w:val="0000ff"/>
      <w:sz w:val="28"/>
      <w:szCs w:val="28"/>
    </w:rPr>
  </w:style>
  <w:style w:type="character" w:styleId="714" w:customStyle="1">
    <w:name w:val="Нижний колонтитул Знак"/>
    <w:qFormat/>
    <w:rPr>
      <w:color w:val="0000ff"/>
      <w:sz w:val="28"/>
      <w:szCs w:val="28"/>
    </w:rPr>
  </w:style>
  <w:style w:type="character" w:styleId="715">
    <w:name w:val="Emphasis"/>
    <w:qFormat/>
    <w:rPr>
      <w:i/>
      <w:iCs/>
    </w:rPr>
  </w:style>
  <w:style w:type="character" w:styleId="716" w:customStyle="1">
    <w:name w:val="Основной текст с отступом 3 Знак"/>
    <w:qFormat/>
    <w:rPr>
      <w:sz w:val="28"/>
    </w:rPr>
  </w:style>
  <w:style w:type="paragraph" w:styleId="717" w:customStyle="1">
    <w:name w:val="Заголовок"/>
    <w:basedOn w:val="658"/>
    <w:next w:val="718"/>
    <w:qFormat/>
    <w:pPr>
      <w:keepNext/>
      <w:spacing w:before="240" w:after="120"/>
    </w:pPr>
    <w:rPr>
      <w:rFonts w:ascii="PT Astra Serif" w:hAnsi="PT Astra Serif"/>
    </w:rPr>
  </w:style>
  <w:style w:type="paragraph" w:styleId="718">
    <w:name w:val="Body Text"/>
    <w:basedOn w:val="658"/>
    <w:pPr>
      <w:spacing w:after="140" w:line="276" w:lineRule="auto"/>
    </w:pPr>
  </w:style>
  <w:style w:type="paragraph" w:styleId="719">
    <w:name w:val="List"/>
    <w:basedOn w:val="718"/>
    <w:rPr>
      <w:rFonts w:ascii="PT Astra Serif" w:hAnsi="PT Astra Serif"/>
    </w:rPr>
  </w:style>
  <w:style w:type="paragraph" w:styleId="720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1">
    <w:name w:val="index heading"/>
    <w:basedOn w:val="658"/>
    <w:qFormat/>
    <w:pPr>
      <w:suppressLineNumbers/>
    </w:pPr>
    <w:rPr>
      <w:rFonts w:ascii="PT Astra Serif" w:hAnsi="PT Astra Serif"/>
    </w:rPr>
  </w:style>
  <w:style w:type="paragraph" w:styleId="722">
    <w:name w:val="List Paragraph"/>
    <w:basedOn w:val="658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rPr>
      <w:sz w:val="28"/>
    </w:rPr>
  </w:style>
  <w:style w:type="paragraph" w:styleId="724">
    <w:name w:val="Title"/>
    <w:basedOn w:val="658"/>
    <w:next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5">
    <w:name w:val="Subtitle"/>
    <w:basedOn w:val="658"/>
    <w:next w:val="658"/>
    <w:uiPriority w:val="11"/>
    <w:qFormat/>
    <w:pPr>
      <w:spacing w:before="200" w:after="200"/>
    </w:pPr>
    <w:rPr>
      <w:sz w:val="24"/>
      <w:szCs w:val="24"/>
    </w:rPr>
  </w:style>
  <w:style w:type="paragraph" w:styleId="726">
    <w:name w:val="Quote"/>
    <w:basedOn w:val="658"/>
    <w:next w:val="658"/>
    <w:uiPriority w:val="29"/>
    <w:qFormat/>
    <w:pPr>
      <w:ind w:left="720" w:right="720"/>
    </w:pPr>
    <w:rPr>
      <w:i/>
    </w:rPr>
  </w:style>
  <w:style w:type="paragraph" w:styleId="727">
    <w:name w:val="Intense Quote"/>
    <w:basedOn w:val="658"/>
    <w:next w:val="6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8" w:customStyle="1">
    <w:name w:val="Верхний и нижний колонтитулы"/>
    <w:basedOn w:val="658"/>
    <w:qFormat/>
  </w:style>
  <w:style w:type="paragraph" w:styleId="729">
    <w:name w:val="Header"/>
    <w:basedOn w:val="658"/>
    <w:uiPriority w:val="99"/>
    <w:pPr>
      <w:tabs>
        <w:tab w:val="center" w:pos="4677" w:leader="none"/>
        <w:tab w:val="right" w:pos="9355" w:leader="none"/>
      </w:tabs>
    </w:pPr>
  </w:style>
  <w:style w:type="paragraph" w:styleId="730">
    <w:name w:val="Footer"/>
    <w:basedOn w:val="658"/>
    <w:pPr>
      <w:tabs>
        <w:tab w:val="center" w:pos="4677" w:leader="none"/>
        <w:tab w:val="right" w:pos="9355" w:leader="none"/>
      </w:tabs>
    </w:pPr>
  </w:style>
  <w:style w:type="paragraph" w:styleId="731">
    <w:name w:val="footnote text"/>
    <w:basedOn w:val="658"/>
    <w:uiPriority w:val="99"/>
    <w:semiHidden/>
    <w:unhideWhenUsed/>
    <w:pPr>
      <w:spacing w:after="40"/>
    </w:pPr>
    <w:rPr>
      <w:sz w:val="18"/>
    </w:rPr>
  </w:style>
  <w:style w:type="paragraph" w:styleId="732">
    <w:name w:val="endnote text"/>
    <w:basedOn w:val="658"/>
    <w:uiPriority w:val="99"/>
    <w:semiHidden/>
    <w:unhideWhenUsed/>
    <w:rPr>
      <w:sz w:val="20"/>
    </w:rPr>
  </w:style>
  <w:style w:type="paragraph" w:styleId="733">
    <w:name w:val="toc 1"/>
    <w:basedOn w:val="658"/>
    <w:next w:val="658"/>
    <w:uiPriority w:val="39"/>
    <w:unhideWhenUsed/>
    <w:pPr>
      <w:ind w:firstLine="0"/>
      <w:spacing w:after="57"/>
    </w:pPr>
  </w:style>
  <w:style w:type="paragraph" w:styleId="734">
    <w:name w:val="toc 2"/>
    <w:basedOn w:val="658"/>
    <w:next w:val="658"/>
    <w:uiPriority w:val="39"/>
    <w:unhideWhenUsed/>
    <w:pPr>
      <w:ind w:left="283" w:firstLine="0"/>
      <w:spacing w:after="57"/>
    </w:pPr>
  </w:style>
  <w:style w:type="paragraph" w:styleId="735">
    <w:name w:val="toc 3"/>
    <w:basedOn w:val="658"/>
    <w:next w:val="658"/>
    <w:uiPriority w:val="39"/>
    <w:unhideWhenUsed/>
    <w:pPr>
      <w:ind w:left="567" w:firstLine="0"/>
      <w:spacing w:after="57"/>
    </w:pPr>
  </w:style>
  <w:style w:type="paragraph" w:styleId="736">
    <w:name w:val="toc 4"/>
    <w:basedOn w:val="658"/>
    <w:next w:val="658"/>
    <w:uiPriority w:val="39"/>
    <w:unhideWhenUsed/>
    <w:pPr>
      <w:ind w:left="850" w:firstLine="0"/>
      <w:spacing w:after="57"/>
    </w:pPr>
  </w:style>
  <w:style w:type="paragraph" w:styleId="737">
    <w:name w:val="toc 5"/>
    <w:basedOn w:val="658"/>
    <w:next w:val="658"/>
    <w:uiPriority w:val="39"/>
    <w:unhideWhenUsed/>
    <w:pPr>
      <w:ind w:left="1134" w:firstLine="0"/>
      <w:spacing w:after="57"/>
    </w:pPr>
  </w:style>
  <w:style w:type="paragraph" w:styleId="738">
    <w:name w:val="toc 6"/>
    <w:basedOn w:val="658"/>
    <w:next w:val="658"/>
    <w:uiPriority w:val="39"/>
    <w:unhideWhenUsed/>
    <w:pPr>
      <w:ind w:left="1417" w:firstLine="0"/>
      <w:spacing w:after="57"/>
    </w:pPr>
  </w:style>
  <w:style w:type="paragraph" w:styleId="739">
    <w:name w:val="toc 7"/>
    <w:basedOn w:val="658"/>
    <w:next w:val="658"/>
    <w:uiPriority w:val="39"/>
    <w:unhideWhenUsed/>
    <w:pPr>
      <w:ind w:left="1701" w:firstLine="0"/>
      <w:spacing w:after="57"/>
    </w:pPr>
  </w:style>
  <w:style w:type="paragraph" w:styleId="740">
    <w:name w:val="toc 8"/>
    <w:basedOn w:val="658"/>
    <w:next w:val="658"/>
    <w:uiPriority w:val="39"/>
    <w:unhideWhenUsed/>
    <w:pPr>
      <w:ind w:left="1984" w:firstLine="0"/>
      <w:spacing w:after="57"/>
    </w:pPr>
  </w:style>
  <w:style w:type="paragraph" w:styleId="741">
    <w:name w:val="toc 9"/>
    <w:basedOn w:val="658"/>
    <w:next w:val="658"/>
    <w:uiPriority w:val="39"/>
    <w:unhideWhenUsed/>
    <w:pPr>
      <w:ind w:left="2268" w:firstLine="0"/>
      <w:spacing w:after="57"/>
    </w:pPr>
  </w:style>
  <w:style w:type="paragraph" w:styleId="742">
    <w:name w:val="TOC Heading"/>
    <w:uiPriority w:val="39"/>
    <w:unhideWhenUsed/>
    <w:qFormat/>
    <w:rPr>
      <w:sz w:val="28"/>
    </w:rPr>
  </w:style>
  <w:style w:type="paragraph" w:styleId="743">
    <w:name w:val="table of figures"/>
    <w:basedOn w:val="658"/>
    <w:next w:val="658"/>
    <w:uiPriority w:val="99"/>
    <w:unhideWhenUsed/>
    <w:qFormat/>
  </w:style>
  <w:style w:type="paragraph" w:styleId="744">
    <w:name w:val="Balloon Text"/>
    <w:basedOn w:val="658"/>
    <w:qFormat/>
    <w:rPr>
      <w:rFonts w:ascii="Segoe UI" w:hAnsi="Segoe UI"/>
      <w:color w:val="000000"/>
      <w:sz w:val="18"/>
      <w:szCs w:val="18"/>
      <w:lang w:val="en-US" w:eastAsia="en-US"/>
    </w:rPr>
  </w:style>
  <w:style w:type="paragraph" w:styleId="745" w:customStyle="1">
    <w:name w:val="Обычный (веб)1"/>
    <w:basedOn w:val="658"/>
    <w:qFormat/>
    <w:pPr>
      <w:ind w:left="709" w:firstLine="0"/>
      <w:spacing w:beforeAutospacing="1" w:afterAutospacing="1"/>
    </w:pPr>
    <w:rPr>
      <w:color w:val="000000"/>
      <w:sz w:val="24"/>
      <w:szCs w:val="24"/>
    </w:rPr>
  </w:style>
  <w:style w:type="paragraph" w:styleId="746" w:customStyle="1">
    <w:name w:val="Прижатый влево"/>
    <w:basedOn w:val="658"/>
    <w:next w:val="658"/>
    <w:qFormat/>
    <w:pPr>
      <w:ind w:firstLine="0"/>
      <w:jc w:val="left"/>
    </w:pPr>
    <w:rPr>
      <w:rFonts w:ascii="Arial" w:hAnsi="Arial"/>
      <w:color w:val="000000"/>
      <w:sz w:val="24"/>
      <w:szCs w:val="24"/>
    </w:rPr>
  </w:style>
  <w:style w:type="paragraph" w:styleId="747">
    <w:name w:val="Body Text Indent 3"/>
    <w:basedOn w:val="658"/>
    <w:qFormat/>
    <w:pPr>
      <w:ind w:firstLine="709"/>
    </w:pPr>
    <w:rPr>
      <w:color w:val="000000"/>
      <w:szCs w:val="20"/>
    </w:rPr>
  </w:style>
  <w:style w:type="paragraph" w:styleId="748" w:customStyle="1">
    <w:name w:val="ConsPlusNormal"/>
    <w:qFormat/>
    <w:pPr>
      <w:widowControl w:val="off"/>
    </w:pPr>
    <w:rPr>
      <w:rFonts w:ascii="Calibri" w:hAnsi="Calibri" w:cs="Calibri"/>
      <w:sz w:val="22"/>
      <w:lang w:eastAsia="ru-RU"/>
    </w:rPr>
  </w:style>
  <w:style w:type="table" w:styleId="749">
    <w:name w:val="Table Grid"/>
    <w:basedOn w:val="669"/>
    <w:tblPr/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4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875" w:customStyle="1">
    <w:name w:val="Гиперссылка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login.consultant.ru/link/?req=doc&amp;base=LAW&amp;n=465549&amp;dst=100339" TargetMode="External"/><Relationship Id="rId11" Type="http://schemas.openxmlformats.org/officeDocument/2006/relationships/hyperlink" Target="https://login.consultant.ru/link/?req=doc&amp;base=LAW&amp;n=472846&amp;dst=100410" TargetMode="External"/><Relationship Id="rId12" Type="http://schemas.openxmlformats.org/officeDocument/2006/relationships/hyperlink" Target="https://login.consultant.ru/link/?req=doc&amp;base=LAW&amp;n=472846&amp;dst=295" TargetMode="External"/><Relationship Id="rId13" Type="http://schemas.openxmlformats.org/officeDocument/2006/relationships/hyperlink" Target="https://login.consultant.ru/link/?req=doc&amp;base=LAW&amp;n=472846&amp;dst=11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dc:description/>
  <dc:language>ru-RU</dc:language>
  <cp:revision>26</cp:revision>
  <dcterms:created xsi:type="dcterms:W3CDTF">2023-02-16T05:20:00Z</dcterms:created>
  <dcterms:modified xsi:type="dcterms:W3CDTF">2024-05-22T05:28:55Z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RePack by SPecialiST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983040</vt:lpwstr>
  </property>
</Properties>
</file>